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651" w:rsidRDefault="00DA7D4A" w:rsidP="00CA2DCA">
      <w:pPr>
        <w:autoSpaceDE w:val="0"/>
        <w:autoSpaceDN w:val="0"/>
        <w:adjustRightInd w:val="0"/>
        <w:spacing w:line="264" w:lineRule="auto"/>
        <w:rPr>
          <w:rFonts w:cs="Arial"/>
          <w:b/>
          <w:color w:val="auto"/>
          <w:sz w:val="32"/>
        </w:rPr>
      </w:pPr>
      <w:r>
        <w:rPr>
          <w:b/>
          <w:color w:val="auto"/>
          <w:sz w:val="32"/>
        </w:rPr>
        <w:t xml:space="preserve">X </w:t>
      </w:r>
      <w:r w:rsidR="004D3D54">
        <w:rPr>
          <w:b/>
          <w:color w:val="auto"/>
          <w:sz w:val="32"/>
        </w:rPr>
        <w:t>– the new</w:t>
      </w:r>
      <w:r>
        <w:rPr>
          <w:b/>
          <w:color w:val="auto"/>
          <w:sz w:val="32"/>
        </w:rPr>
        <w:t xml:space="preserve"> international hub in Abu Dhabi</w:t>
      </w:r>
    </w:p>
    <w:p w:rsidR="00CA2DCA" w:rsidRPr="009C7013" w:rsidRDefault="00A535A9" w:rsidP="00CA2DCA">
      <w:pPr>
        <w:autoSpaceDE w:val="0"/>
        <w:autoSpaceDN w:val="0"/>
        <w:adjustRightInd w:val="0"/>
        <w:spacing w:line="264" w:lineRule="auto"/>
        <w:rPr>
          <w:rFonts w:cs="Arial"/>
          <w:color w:val="7F7F7F" w:themeColor="text1" w:themeTint="80"/>
          <w:szCs w:val="22"/>
        </w:rPr>
      </w:pPr>
      <w:proofErr w:type="gramStart"/>
      <w:r>
        <w:rPr>
          <w:color w:val="7F7F7F" w:themeColor="text1" w:themeTint="80"/>
        </w:rPr>
        <w:t>Piers</w:t>
      </w:r>
      <w:r w:rsidR="00EE6C4F">
        <w:rPr>
          <w:color w:val="7F7F7F" w:themeColor="text1" w:themeTint="80"/>
        </w:rPr>
        <w:t>, Midfield Terminal Complex, Abu Dhabi</w:t>
      </w:r>
      <w:r w:rsidR="004D3D54">
        <w:rPr>
          <w:color w:val="7F7F7F" w:themeColor="text1" w:themeTint="80"/>
        </w:rPr>
        <w:t xml:space="preserve"> Airport</w:t>
      </w:r>
      <w:r w:rsidR="00EE6C4F">
        <w:rPr>
          <w:color w:val="7F7F7F" w:themeColor="text1" w:themeTint="80"/>
        </w:rPr>
        <w:t xml:space="preserve"> / </w:t>
      </w:r>
      <w:r w:rsidR="004D3D54">
        <w:rPr>
          <w:color w:val="7F7F7F" w:themeColor="text1" w:themeTint="80"/>
        </w:rPr>
        <w:t>U.A.E.</w:t>
      </w:r>
      <w:proofErr w:type="gramEnd"/>
    </w:p>
    <w:p w:rsidR="00CA2DCA" w:rsidRPr="009C7013" w:rsidRDefault="00CA2DCA" w:rsidP="00CA2DCA">
      <w:pPr>
        <w:autoSpaceDE w:val="0"/>
        <w:autoSpaceDN w:val="0"/>
        <w:adjustRightInd w:val="0"/>
        <w:spacing w:line="264" w:lineRule="auto"/>
        <w:rPr>
          <w:rFonts w:cs="Arial"/>
          <w:color w:val="808080" w:themeColor="background1" w:themeShade="80"/>
          <w:szCs w:val="22"/>
        </w:rPr>
      </w:pPr>
    </w:p>
    <w:p w:rsidR="00C8283E" w:rsidRPr="00B21048" w:rsidRDefault="00F17F1E" w:rsidP="00CA2DCA">
      <w:pPr>
        <w:autoSpaceDE w:val="0"/>
        <w:autoSpaceDN w:val="0"/>
        <w:adjustRightInd w:val="0"/>
        <w:spacing w:line="264" w:lineRule="auto"/>
        <w:rPr>
          <w:rFonts w:cs="Arial"/>
          <w:b/>
          <w:szCs w:val="22"/>
        </w:rPr>
      </w:pPr>
      <w:r>
        <w:rPr>
          <w:b/>
        </w:rPr>
        <w:t xml:space="preserve">The Midfield Terminal Complex at Abu Dhabi International Airport is currently one of the Emirate's most impressive construction projects. At the same time it represents the core of the </w:t>
      </w:r>
      <w:r w:rsidR="00A535A9">
        <w:rPr>
          <w:b/>
        </w:rPr>
        <w:t xml:space="preserve">Abu Dhabi Economic Vision </w:t>
      </w:r>
      <w:r>
        <w:rPr>
          <w:b/>
        </w:rPr>
        <w:t xml:space="preserve">2030. Once completed, the expected number of passengers processed at the complex is between 27 and 40 million annually. Doka is on-site with its high-performing formwork systems to support the air traffic hub expansion. </w:t>
      </w:r>
    </w:p>
    <w:p w:rsidR="000064C7" w:rsidRDefault="000064C7" w:rsidP="00CA2DCA">
      <w:pPr>
        <w:autoSpaceDE w:val="0"/>
        <w:autoSpaceDN w:val="0"/>
        <w:adjustRightInd w:val="0"/>
        <w:spacing w:line="264" w:lineRule="auto"/>
        <w:rPr>
          <w:rFonts w:cs="Arial"/>
          <w:sz w:val="24"/>
        </w:rPr>
      </w:pPr>
    </w:p>
    <w:p w:rsidR="002126BE" w:rsidRPr="00B21048" w:rsidRDefault="00A67F42" w:rsidP="002126BE">
      <w:pPr>
        <w:autoSpaceDE w:val="0"/>
        <w:autoSpaceDN w:val="0"/>
        <w:adjustRightInd w:val="0"/>
        <w:spacing w:line="264" w:lineRule="auto"/>
        <w:rPr>
          <w:rFonts w:cs="Arial"/>
          <w:szCs w:val="22"/>
        </w:rPr>
      </w:pPr>
      <w:r>
        <w:rPr>
          <w:color w:val="auto"/>
        </w:rPr>
        <w:t>The new terminal complex is erected between the airport's take-off and landing runways and expected to open in 2017.</w:t>
      </w:r>
      <w:r>
        <w:t xml:space="preserve"> The Abu Dhabi Airport Company (ADAC) hired Joint Venture TAV-CC-Arabtec to assume the role of project contractor. Construction is well under way on part of the complex – the Midfield Terminal Building. The airport terminal is 1.1 km long overall and covers 700,000 m</w:t>
      </w:r>
      <w:r>
        <w:rPr>
          <w:vertAlign w:val="superscript"/>
        </w:rPr>
        <w:t>2</w:t>
      </w:r>
      <w:r>
        <w:t>. From the perspective of architecture, the structure's unusual X-shape is truly eye-catching. It will be visible from a distance of 1.5 km and become a striking landmark in the Emirate of Abu Dhabi.</w:t>
      </w:r>
      <w:r>
        <w:rPr>
          <w:color w:val="auto"/>
        </w:rPr>
        <w:t xml:space="preserve"> </w:t>
      </w:r>
    </w:p>
    <w:p w:rsidR="00192353" w:rsidRDefault="00192353" w:rsidP="00CA2DCA">
      <w:pPr>
        <w:autoSpaceDE w:val="0"/>
        <w:autoSpaceDN w:val="0"/>
        <w:adjustRightInd w:val="0"/>
        <w:spacing w:line="264" w:lineRule="auto"/>
        <w:rPr>
          <w:rFonts w:cs="Arial"/>
          <w:szCs w:val="22"/>
        </w:rPr>
      </w:pPr>
    </w:p>
    <w:p w:rsidR="009C7013" w:rsidRPr="00B21048" w:rsidRDefault="009C7013" w:rsidP="009C7013">
      <w:pPr>
        <w:autoSpaceDE w:val="0"/>
        <w:autoSpaceDN w:val="0"/>
        <w:adjustRightInd w:val="0"/>
        <w:spacing w:line="264" w:lineRule="auto"/>
        <w:rPr>
          <w:rFonts w:cs="Arial"/>
          <w:b/>
          <w:szCs w:val="22"/>
        </w:rPr>
      </w:pPr>
      <w:r>
        <w:rPr>
          <w:b/>
        </w:rPr>
        <w:t>Floors, walls and columns sourced from Doka</w:t>
      </w:r>
    </w:p>
    <w:p w:rsidR="00272CE6" w:rsidRPr="00B21048" w:rsidRDefault="00514C59" w:rsidP="00CA2DCA">
      <w:pPr>
        <w:autoSpaceDE w:val="0"/>
        <w:autoSpaceDN w:val="0"/>
        <w:adjustRightInd w:val="0"/>
        <w:spacing w:line="264" w:lineRule="auto"/>
        <w:rPr>
          <w:rFonts w:cs="Arial"/>
          <w:szCs w:val="22"/>
        </w:rPr>
      </w:pPr>
      <w:r>
        <w:t xml:space="preserve">The colossal </w:t>
      </w:r>
      <w:r w:rsidR="00A535A9">
        <w:t>piers</w:t>
      </w:r>
      <w:r>
        <w:t xml:space="preserve"> demand the expertise and know-how of Doka. They are designed to accommodate up to 65 aircraft and able to handle planes as large as the A-380 Airbus megaliner. Doka's Abu Dhabi branch won the customer over with an economical and time-saving formwork solution tailored to the unusual shape and the tight 15-month schedule for cast-in-place </w:t>
      </w:r>
      <w:r w:rsidR="00A535A9">
        <w:t>concrete</w:t>
      </w:r>
      <w:r>
        <w:t xml:space="preserve"> construction. </w:t>
      </w:r>
    </w:p>
    <w:p w:rsidR="0060678C" w:rsidRPr="00B21048" w:rsidRDefault="0060678C" w:rsidP="00CA2DCA">
      <w:pPr>
        <w:autoSpaceDE w:val="0"/>
        <w:autoSpaceDN w:val="0"/>
        <w:adjustRightInd w:val="0"/>
        <w:spacing w:line="264" w:lineRule="auto"/>
        <w:rPr>
          <w:rFonts w:cs="Arial"/>
          <w:szCs w:val="22"/>
        </w:rPr>
      </w:pPr>
    </w:p>
    <w:p w:rsidR="003A315D" w:rsidRPr="00FD7F20" w:rsidRDefault="0060678C" w:rsidP="00CA2DCA">
      <w:pPr>
        <w:autoSpaceDE w:val="0"/>
        <w:autoSpaceDN w:val="0"/>
        <w:adjustRightInd w:val="0"/>
        <w:spacing w:line="264" w:lineRule="auto"/>
        <w:rPr>
          <w:rFonts w:cs="Arial"/>
          <w:szCs w:val="22"/>
        </w:rPr>
      </w:pPr>
      <w:r w:rsidRPr="00FD7F20">
        <w:t xml:space="preserve">The </w:t>
      </w:r>
      <w:r w:rsidR="003A654D">
        <w:t>L</w:t>
      </w:r>
      <w:r w:rsidRPr="00FD7F20">
        <w:t xml:space="preserve">oad-bearing tower </w:t>
      </w:r>
      <w:proofErr w:type="spellStart"/>
      <w:r w:rsidRPr="00FD7F20">
        <w:t>Staxo</w:t>
      </w:r>
      <w:proofErr w:type="spellEnd"/>
      <w:r w:rsidR="005E521D">
        <w:t> </w:t>
      </w:r>
      <w:r>
        <w:t>40 scores big when it comes to forming the floors that require a total of 11,000 m</w:t>
      </w:r>
      <w:r>
        <w:rPr>
          <w:vertAlign w:val="superscript"/>
        </w:rPr>
        <w:t>2</w:t>
      </w:r>
      <w:r>
        <w:t xml:space="preserve"> Doka floor formwork. The lightweight shoring system stands out for its exceptional ease of handling, quick assembly and maximum adaptability. The solution for supporting walls and colu</w:t>
      </w:r>
      <w:r w:rsidR="00984563">
        <w:t>mns is provided in form of the L</w:t>
      </w:r>
      <w:r w:rsidR="005E521D">
        <w:t>arge-area formwork Top </w:t>
      </w:r>
      <w:r>
        <w:t xml:space="preserve">50. The pre-assembled formwork </w:t>
      </w:r>
      <w:r w:rsidR="00984563">
        <w:t xml:space="preserve">system </w:t>
      </w:r>
      <w:r>
        <w:t>meets all architectural requirements with respect to form, size and form-tie pattern.</w:t>
      </w:r>
      <w:r w:rsidR="00FD7F20">
        <w:t xml:space="preserve"> In addition 6,400 m</w:t>
      </w:r>
      <w:r w:rsidR="00FD7F20" w:rsidRPr="00FD7F20">
        <w:rPr>
          <w:vertAlign w:val="superscript"/>
        </w:rPr>
        <w:t>2</w:t>
      </w:r>
      <w:r w:rsidR="00FD7F20">
        <w:rPr>
          <w:vertAlign w:val="superscript"/>
        </w:rPr>
        <w:t xml:space="preserve"> </w:t>
      </w:r>
      <w:proofErr w:type="gramStart"/>
      <w:r w:rsidR="00FD7F20">
        <w:t>Fram</w:t>
      </w:r>
      <w:r w:rsidR="009C7E37">
        <w:t>ed</w:t>
      </w:r>
      <w:proofErr w:type="gramEnd"/>
      <w:r w:rsidR="009C7E37">
        <w:t xml:space="preserve"> formwork </w:t>
      </w:r>
      <w:proofErr w:type="spellStart"/>
      <w:r w:rsidR="009C7E37">
        <w:t>Frami</w:t>
      </w:r>
      <w:proofErr w:type="spellEnd"/>
      <w:r w:rsidR="009C7E37">
        <w:t xml:space="preserve"> </w:t>
      </w:r>
      <w:proofErr w:type="spellStart"/>
      <w:r w:rsidR="009C7E37">
        <w:t>Xlife</w:t>
      </w:r>
      <w:proofErr w:type="spellEnd"/>
      <w:r w:rsidR="009C7E37">
        <w:t xml:space="preserve"> are in use.</w:t>
      </w:r>
    </w:p>
    <w:p w:rsidR="00DE6052" w:rsidRDefault="00DE6052" w:rsidP="00CA2DCA">
      <w:pPr>
        <w:autoSpaceDE w:val="0"/>
        <w:autoSpaceDN w:val="0"/>
        <w:adjustRightInd w:val="0"/>
        <w:spacing w:line="264" w:lineRule="auto"/>
        <w:rPr>
          <w:rFonts w:cs="Arial"/>
          <w:szCs w:val="22"/>
        </w:rPr>
      </w:pPr>
    </w:p>
    <w:p w:rsidR="009C7013" w:rsidRPr="009C7013" w:rsidRDefault="009C7013" w:rsidP="00CA2DCA">
      <w:pPr>
        <w:autoSpaceDE w:val="0"/>
        <w:autoSpaceDN w:val="0"/>
        <w:adjustRightInd w:val="0"/>
        <w:spacing w:line="264" w:lineRule="auto"/>
        <w:rPr>
          <w:rFonts w:cs="Arial"/>
          <w:b/>
          <w:szCs w:val="22"/>
        </w:rPr>
      </w:pPr>
      <w:r>
        <w:rPr>
          <w:b/>
        </w:rPr>
        <w:t xml:space="preserve">Doka </w:t>
      </w:r>
      <w:r w:rsidR="003A654D">
        <w:rPr>
          <w:b/>
        </w:rPr>
        <w:t xml:space="preserve">project management </w:t>
      </w:r>
      <w:r>
        <w:rPr>
          <w:b/>
        </w:rPr>
        <w:t>on site</w:t>
      </w:r>
    </w:p>
    <w:p w:rsidR="00066516" w:rsidRPr="00B21048" w:rsidRDefault="001E7162" w:rsidP="00CA2DCA">
      <w:pPr>
        <w:autoSpaceDE w:val="0"/>
        <w:autoSpaceDN w:val="0"/>
        <w:adjustRightInd w:val="0"/>
        <w:spacing w:line="264" w:lineRule="auto"/>
        <w:rPr>
          <w:rFonts w:cs="Arial"/>
          <w:szCs w:val="22"/>
        </w:rPr>
      </w:pPr>
      <w:r>
        <w:t xml:space="preserve">A </w:t>
      </w:r>
      <w:r w:rsidR="00B34661">
        <w:t>Doka project coordinator ensure</w:t>
      </w:r>
      <w:r>
        <w:t>s</w:t>
      </w:r>
      <w:r w:rsidR="00B34661">
        <w:t xml:space="preserve"> a smooth workflow throughout all stages of the project. A team of technicians and a formwork instructor are on-site to instruct the crew in using the formwork safely and effectively. Crucial ingredients for a smooth workflow and successful project are daily coordination of formwork delivery to the site and on-site distribution of materials. In addition, the team at the Doka branch are also forging ahead intensely on the project. Thus far the Engineering Department com</w:t>
      </w:r>
      <w:r w:rsidR="00984563">
        <w:t>pleted 500 project drawings.</w:t>
      </w:r>
    </w:p>
    <w:p w:rsidR="001C0205" w:rsidRPr="00B21048" w:rsidRDefault="001C0205" w:rsidP="00CA2DCA">
      <w:pPr>
        <w:autoSpaceDE w:val="0"/>
        <w:autoSpaceDN w:val="0"/>
        <w:adjustRightInd w:val="0"/>
        <w:spacing w:line="264" w:lineRule="auto"/>
        <w:rPr>
          <w:rFonts w:cs="Arial"/>
          <w:szCs w:val="22"/>
        </w:rPr>
      </w:pPr>
    </w:p>
    <w:p w:rsidR="00FC154C" w:rsidRPr="00B21048" w:rsidRDefault="00FC154C" w:rsidP="00FC154C">
      <w:pPr>
        <w:autoSpaceDE w:val="0"/>
        <w:autoSpaceDN w:val="0"/>
        <w:adjustRightInd w:val="0"/>
        <w:spacing w:line="264" w:lineRule="auto"/>
        <w:rPr>
          <w:rFonts w:cs="Arial"/>
          <w:color w:val="auto"/>
          <w:szCs w:val="22"/>
        </w:rPr>
      </w:pPr>
      <w:r>
        <w:t xml:space="preserve">"In the past, I collaborated with Doka on several projects similar to the Abu Dhabi Midfield Terminal Building. Doka is a reliable partner for this project. With its know-how and technical solutions, the team significantly contributed to us achieving our milestones. Doka practitioners </w:t>
      </w:r>
      <w:r>
        <w:lastRenderedPageBreak/>
        <w:t>provide support directly on site; even materials required on short notice are delivered quickly", so Huseyin Misirlioglu, Senior TAV Project Manager on collaborating with Doka.</w:t>
      </w:r>
    </w:p>
    <w:p w:rsidR="00FC154C" w:rsidRPr="00B21048" w:rsidRDefault="00FC154C" w:rsidP="00CA2DCA">
      <w:pPr>
        <w:autoSpaceDE w:val="0"/>
        <w:autoSpaceDN w:val="0"/>
        <w:adjustRightInd w:val="0"/>
        <w:spacing w:line="264" w:lineRule="auto"/>
        <w:rPr>
          <w:rFonts w:cs="Arial"/>
          <w:szCs w:val="22"/>
        </w:rPr>
      </w:pPr>
    </w:p>
    <w:p w:rsidR="00F3760D" w:rsidRPr="00B21048" w:rsidRDefault="00D22ED1">
      <w:pPr>
        <w:rPr>
          <w:rFonts w:cs="Arial"/>
          <w:szCs w:val="22"/>
        </w:rPr>
      </w:pPr>
      <w:r>
        <w:t xml:space="preserve">The Midfield Terminal Complex is not the only project in the aviation sector where Doka's expertise is sought. Construction of the international airports in Muscat </w:t>
      </w:r>
      <w:r w:rsidR="00C34D2B">
        <w:t xml:space="preserve">and </w:t>
      </w:r>
      <w:proofErr w:type="spellStart"/>
      <w:r w:rsidR="00C34D2B">
        <w:t>Salalah</w:t>
      </w:r>
      <w:proofErr w:type="spellEnd"/>
      <w:r w:rsidR="00C34D2B">
        <w:t xml:space="preserve"> in </w:t>
      </w:r>
      <w:r>
        <w:t xml:space="preserve">Oman, the King </w:t>
      </w:r>
      <w:proofErr w:type="spellStart"/>
      <w:r>
        <w:t>Abdulaziz</w:t>
      </w:r>
      <w:proofErr w:type="spellEnd"/>
      <w:r>
        <w:t xml:space="preserve"> International Airport in Jeddah, Saudi Arabia, or the New Doha International Airport in Qatar are additional projects where Doka demonstrated its skills in developing solutions.</w:t>
      </w:r>
    </w:p>
    <w:p w:rsidR="00B21048" w:rsidRDefault="00B21048" w:rsidP="00CA2DCA">
      <w:pPr>
        <w:autoSpaceDE w:val="0"/>
        <w:autoSpaceDN w:val="0"/>
        <w:adjustRightInd w:val="0"/>
        <w:spacing w:line="264" w:lineRule="auto"/>
        <w:rPr>
          <w:rFonts w:cs="Arial"/>
          <w:b/>
          <w:color w:val="auto"/>
          <w:sz w:val="24"/>
        </w:rPr>
      </w:pPr>
    </w:p>
    <w:p w:rsidR="00CA2DCA" w:rsidRPr="00B21048" w:rsidRDefault="00F3760D" w:rsidP="00CA2DCA">
      <w:pPr>
        <w:autoSpaceDE w:val="0"/>
        <w:autoSpaceDN w:val="0"/>
        <w:adjustRightInd w:val="0"/>
        <w:spacing w:line="264" w:lineRule="auto"/>
        <w:rPr>
          <w:rFonts w:cs="Arial"/>
          <w:b/>
          <w:color w:val="auto"/>
          <w:szCs w:val="22"/>
        </w:rPr>
      </w:pPr>
      <w:r>
        <w:rPr>
          <w:b/>
          <w:color w:val="auto"/>
        </w:rPr>
        <w:t>In short:</w:t>
      </w:r>
    </w:p>
    <w:p w:rsidR="00F3760D" w:rsidRPr="00665B95" w:rsidRDefault="00F3760D" w:rsidP="00F3760D">
      <w:pPr>
        <w:tabs>
          <w:tab w:val="left" w:pos="2835"/>
        </w:tabs>
        <w:spacing w:line="264" w:lineRule="auto"/>
        <w:jc w:val="both"/>
      </w:pPr>
      <w:r>
        <w:t>Project:</w:t>
      </w:r>
      <w:r>
        <w:tab/>
      </w:r>
      <w:r w:rsidR="00C34D2B">
        <w:t>Piers</w:t>
      </w:r>
      <w:r>
        <w:t>, Midfield Terminal Complex</w:t>
      </w:r>
      <w:r w:rsidR="00C34D2B">
        <w:t>, Abu Dhabi International Airport</w:t>
      </w:r>
    </w:p>
    <w:p w:rsidR="00F3760D" w:rsidRPr="00665B95" w:rsidRDefault="00F3760D" w:rsidP="00F3760D">
      <w:pPr>
        <w:tabs>
          <w:tab w:val="left" w:pos="2835"/>
        </w:tabs>
        <w:spacing w:line="264" w:lineRule="auto"/>
        <w:jc w:val="both"/>
      </w:pPr>
      <w:r>
        <w:t>Site:</w:t>
      </w:r>
      <w:r>
        <w:tab/>
        <w:t>Abu Dhabi, United Arab Emirates</w:t>
      </w:r>
    </w:p>
    <w:p w:rsidR="00F3760D" w:rsidRDefault="00F3760D" w:rsidP="00F3760D">
      <w:pPr>
        <w:tabs>
          <w:tab w:val="left" w:pos="2835"/>
        </w:tabs>
        <w:spacing w:line="264" w:lineRule="auto"/>
        <w:ind w:left="2880" w:hanging="2880"/>
        <w:jc w:val="both"/>
      </w:pPr>
      <w:r>
        <w:t>Construction company:</w:t>
      </w:r>
      <w:r>
        <w:tab/>
      </w:r>
      <w:r>
        <w:rPr>
          <w:sz w:val="24"/>
        </w:rPr>
        <w:t>Joint Venture TAV-CC-Arabtec</w:t>
      </w:r>
      <w:r>
        <w:t xml:space="preserve"> </w:t>
      </w:r>
    </w:p>
    <w:p w:rsidR="00F3760D" w:rsidRPr="00994481" w:rsidRDefault="00F3760D" w:rsidP="00F3760D">
      <w:pPr>
        <w:tabs>
          <w:tab w:val="left" w:pos="2835"/>
        </w:tabs>
        <w:spacing w:line="264" w:lineRule="auto"/>
        <w:ind w:left="2880" w:hanging="2880"/>
        <w:jc w:val="both"/>
        <w:rPr>
          <w:color w:val="auto"/>
        </w:rPr>
      </w:pPr>
      <w:r>
        <w:rPr>
          <w:color w:val="auto"/>
        </w:rPr>
        <w:t>Construction start:</w:t>
      </w:r>
      <w:r>
        <w:tab/>
      </w:r>
      <w:r w:rsidR="00994481" w:rsidRPr="00994481">
        <w:rPr>
          <w:color w:val="auto"/>
        </w:rPr>
        <w:t>December 2013</w:t>
      </w:r>
    </w:p>
    <w:p w:rsidR="00F3760D" w:rsidRPr="00994481" w:rsidRDefault="004E375A" w:rsidP="00F3760D">
      <w:pPr>
        <w:tabs>
          <w:tab w:val="left" w:pos="2835"/>
        </w:tabs>
        <w:spacing w:line="264" w:lineRule="auto"/>
        <w:jc w:val="both"/>
        <w:rPr>
          <w:color w:val="auto"/>
        </w:rPr>
      </w:pPr>
      <w:r w:rsidRPr="00994481">
        <w:rPr>
          <w:color w:val="auto"/>
        </w:rPr>
        <w:t>Scheduled completion:</w:t>
      </w:r>
      <w:r w:rsidRPr="00994481">
        <w:rPr>
          <w:color w:val="auto"/>
        </w:rPr>
        <w:tab/>
      </w:r>
      <w:r w:rsidR="00994481" w:rsidRPr="00994481">
        <w:rPr>
          <w:color w:val="auto"/>
        </w:rPr>
        <w:t>2</w:t>
      </w:r>
      <w:r w:rsidR="00994481" w:rsidRPr="00994481">
        <w:rPr>
          <w:color w:val="auto"/>
          <w:vertAlign w:val="superscript"/>
        </w:rPr>
        <w:t>nd</w:t>
      </w:r>
      <w:r w:rsidR="00994481" w:rsidRPr="00994481">
        <w:rPr>
          <w:color w:val="auto"/>
        </w:rPr>
        <w:t xml:space="preserve"> half 2017</w:t>
      </w:r>
    </w:p>
    <w:p w:rsidR="00F3760D" w:rsidRPr="007E578F" w:rsidRDefault="00F3760D" w:rsidP="00F3760D">
      <w:pPr>
        <w:tabs>
          <w:tab w:val="left" w:pos="2835"/>
        </w:tabs>
        <w:spacing w:line="264" w:lineRule="auto"/>
        <w:ind w:left="2835" w:hanging="2835"/>
        <w:rPr>
          <w:color w:val="auto"/>
        </w:rPr>
      </w:pPr>
      <w:r>
        <w:t xml:space="preserve">Systems used: </w:t>
      </w:r>
      <w:r>
        <w:tab/>
      </w:r>
      <w:r>
        <w:rPr>
          <w:color w:val="auto"/>
        </w:rPr>
        <w:t xml:space="preserve">Products: Framed formwork </w:t>
      </w:r>
      <w:proofErr w:type="spellStart"/>
      <w:r>
        <w:rPr>
          <w:color w:val="auto"/>
        </w:rPr>
        <w:t>Frami</w:t>
      </w:r>
      <w:proofErr w:type="spellEnd"/>
      <w:r>
        <w:rPr>
          <w:color w:val="auto"/>
        </w:rPr>
        <w:t xml:space="preserve"> </w:t>
      </w:r>
      <w:proofErr w:type="spellStart"/>
      <w:r>
        <w:rPr>
          <w:color w:val="auto"/>
        </w:rPr>
        <w:t>Xlife</w:t>
      </w:r>
      <w:proofErr w:type="spellEnd"/>
      <w:r>
        <w:rPr>
          <w:color w:val="auto"/>
        </w:rPr>
        <w:t xml:space="preserve">, Load-bearing tower </w:t>
      </w:r>
      <w:proofErr w:type="spellStart"/>
      <w:r>
        <w:rPr>
          <w:color w:val="auto"/>
        </w:rPr>
        <w:t>Staxo</w:t>
      </w:r>
      <w:proofErr w:type="spellEnd"/>
      <w:r w:rsidR="005E521D">
        <w:rPr>
          <w:color w:val="auto"/>
        </w:rPr>
        <w:t> 40, Large-area formwork Top </w:t>
      </w:r>
      <w:r>
        <w:rPr>
          <w:color w:val="auto"/>
        </w:rPr>
        <w:t xml:space="preserve">50 </w:t>
      </w:r>
    </w:p>
    <w:p w:rsidR="00F3760D" w:rsidRPr="007E578F" w:rsidRDefault="00F3760D" w:rsidP="00F3760D">
      <w:pPr>
        <w:spacing w:line="264" w:lineRule="auto"/>
        <w:ind w:left="2835"/>
        <w:rPr>
          <w:color w:val="auto"/>
        </w:rPr>
      </w:pPr>
      <w:r>
        <w:rPr>
          <w:color w:val="auto"/>
        </w:rPr>
        <w:t>Service</w:t>
      </w:r>
      <w:r w:rsidR="0005679F">
        <w:rPr>
          <w:color w:val="auto"/>
        </w:rPr>
        <w:t>s: Formwork planning, Formwork i</w:t>
      </w:r>
      <w:r>
        <w:rPr>
          <w:color w:val="auto"/>
        </w:rPr>
        <w:t xml:space="preserve">nstructors, Site logistics, </w:t>
      </w:r>
      <w:bookmarkStart w:id="0" w:name="_GoBack"/>
      <w:bookmarkEnd w:id="0"/>
      <w:r w:rsidR="00C34D2B">
        <w:rPr>
          <w:color w:val="auto"/>
        </w:rPr>
        <w:t>O</w:t>
      </w:r>
      <w:r>
        <w:rPr>
          <w:color w:val="auto"/>
        </w:rPr>
        <w:t xml:space="preserve">n-site engineering support </w:t>
      </w:r>
    </w:p>
    <w:p w:rsidR="00514C59" w:rsidRPr="007E578F" w:rsidRDefault="00514C59" w:rsidP="00F3760D">
      <w:pPr>
        <w:pStyle w:val="Einleitung"/>
        <w:spacing w:line="264" w:lineRule="auto"/>
        <w:rPr>
          <w:rFonts w:cs="Arial"/>
          <w:b w:val="0"/>
        </w:rPr>
      </w:pPr>
    </w:p>
    <w:p w:rsidR="00F3760D" w:rsidRPr="002856EB" w:rsidRDefault="00F3760D" w:rsidP="00F3760D">
      <w:pPr>
        <w:keepNext/>
        <w:rPr>
          <w:rFonts w:cs="Arial"/>
          <w:sz w:val="20"/>
        </w:rPr>
      </w:pPr>
      <w:r>
        <w:rPr>
          <w:b/>
          <w:color w:val="auto"/>
          <w:sz w:val="20"/>
        </w:rPr>
        <w:t>About Doka:</w:t>
      </w:r>
    </w:p>
    <w:p w:rsidR="00F3760D" w:rsidRPr="002856EB" w:rsidRDefault="00F3760D" w:rsidP="00F3760D">
      <w:pPr>
        <w:rPr>
          <w:rFonts w:cs="Arial"/>
          <w:sz w:val="20"/>
        </w:rPr>
      </w:pPr>
      <w:r>
        <w:rPr>
          <w:sz w:val="20"/>
        </w:rPr>
        <w:t>Doka is a world leader in developing, manufacturing and distributing formwork technology for use in all fields of the construction sector. With more than 160 sales and logistics facilities in over 70 countries, the Doka Group has a highly efficient distribution network which ensures that equipment and technical support are provided swiftly and professionally. An enterprise forming part of the Umdasch Group, the Doka Group employs a worldwide workforce of more than 6000.</w:t>
      </w:r>
    </w:p>
    <w:p w:rsidR="00F3760D" w:rsidRDefault="00F3760D" w:rsidP="00F3760D">
      <w:pPr>
        <w:rPr>
          <w:rFonts w:cs="Arial"/>
          <w:sz w:val="20"/>
        </w:rPr>
      </w:pPr>
    </w:p>
    <w:p w:rsidR="00F3760D" w:rsidRPr="00BF7C3E" w:rsidRDefault="00F3760D" w:rsidP="00F3760D">
      <w:pPr>
        <w:rPr>
          <w:rFonts w:cs="Arial"/>
          <w:b/>
          <w:sz w:val="20"/>
        </w:rPr>
      </w:pPr>
      <w:r>
        <w:rPr>
          <w:b/>
          <w:sz w:val="20"/>
        </w:rPr>
        <w:t>Press contact:</w:t>
      </w:r>
    </w:p>
    <w:p w:rsidR="00F3760D" w:rsidRPr="00BF7C3E" w:rsidRDefault="00F3760D" w:rsidP="00F3760D">
      <w:pPr>
        <w:rPr>
          <w:rFonts w:cs="Arial"/>
          <w:sz w:val="20"/>
        </w:rPr>
      </w:pPr>
      <w:r>
        <w:rPr>
          <w:sz w:val="20"/>
        </w:rPr>
        <w:t>Wolfgang Pessl</w:t>
      </w:r>
    </w:p>
    <w:p w:rsidR="00F3760D" w:rsidRPr="00BF7C3E" w:rsidRDefault="00F3760D" w:rsidP="00F3760D">
      <w:pPr>
        <w:rPr>
          <w:rFonts w:cs="Arial"/>
          <w:sz w:val="20"/>
        </w:rPr>
      </w:pPr>
      <w:r>
        <w:rPr>
          <w:sz w:val="20"/>
        </w:rPr>
        <w:t xml:space="preserve">Head of Public Relations </w:t>
      </w:r>
    </w:p>
    <w:p w:rsidR="00F3760D" w:rsidRPr="00BF7C3E" w:rsidRDefault="00F3760D" w:rsidP="00F3760D">
      <w:pPr>
        <w:rPr>
          <w:rFonts w:cs="Arial"/>
          <w:sz w:val="6"/>
          <w:szCs w:val="6"/>
        </w:rPr>
      </w:pPr>
    </w:p>
    <w:p w:rsidR="00F3760D" w:rsidRPr="0005679F" w:rsidRDefault="00F3760D" w:rsidP="00F3760D">
      <w:pPr>
        <w:rPr>
          <w:rFonts w:cs="Arial"/>
          <w:sz w:val="20"/>
          <w:lang w:val="de-DE"/>
        </w:rPr>
      </w:pPr>
      <w:r w:rsidRPr="0005679F">
        <w:rPr>
          <w:sz w:val="20"/>
          <w:lang w:val="de-DE"/>
        </w:rPr>
        <w:t>Doka Group</w:t>
      </w:r>
    </w:p>
    <w:p w:rsidR="00F3760D" w:rsidRPr="0005679F" w:rsidRDefault="00F3760D" w:rsidP="00F3760D">
      <w:pPr>
        <w:rPr>
          <w:rFonts w:cs="Arial"/>
          <w:sz w:val="20"/>
          <w:lang w:val="de-DE"/>
        </w:rPr>
      </w:pPr>
      <w:r w:rsidRPr="0005679F">
        <w:rPr>
          <w:sz w:val="20"/>
          <w:lang w:val="de-DE"/>
        </w:rPr>
        <w:t>Josef Umdasch Platz 1, 3300 Amstetten (Austria)</w:t>
      </w:r>
    </w:p>
    <w:p w:rsidR="00F3760D" w:rsidRPr="00BF7C3E" w:rsidRDefault="00F3760D" w:rsidP="00F3760D">
      <w:pPr>
        <w:rPr>
          <w:rFonts w:cs="Arial"/>
          <w:sz w:val="20"/>
        </w:rPr>
      </w:pPr>
      <w:r>
        <w:rPr>
          <w:sz w:val="20"/>
        </w:rPr>
        <w:t>Tel.: +43 7472 605-2733</w:t>
      </w:r>
    </w:p>
    <w:p w:rsidR="00F3760D" w:rsidRPr="00BF7C3E" w:rsidRDefault="00F3760D" w:rsidP="00F3760D">
      <w:pPr>
        <w:rPr>
          <w:rFonts w:cs="Arial"/>
          <w:sz w:val="20"/>
        </w:rPr>
      </w:pPr>
      <w:r>
        <w:rPr>
          <w:sz w:val="20"/>
        </w:rPr>
        <w:t>Email: wolfgang.pessl@doka.com</w:t>
      </w:r>
    </w:p>
    <w:p w:rsidR="00F3760D" w:rsidRPr="007A2184" w:rsidRDefault="00F3760D" w:rsidP="00B21048">
      <w:pPr>
        <w:rPr>
          <w:rFonts w:cs="Arial"/>
          <w:sz w:val="20"/>
        </w:rPr>
      </w:pPr>
      <w:r>
        <w:rPr>
          <w:sz w:val="20"/>
        </w:rPr>
        <w:t xml:space="preserve">Web: </w:t>
      </w:r>
      <w:hyperlink r:id="rId7">
        <w:r>
          <w:rPr>
            <w:rStyle w:val="Hyperlink"/>
            <w:sz w:val="20"/>
          </w:rPr>
          <w:t>www.doka.com</w:t>
        </w:r>
      </w:hyperlink>
    </w:p>
    <w:p w:rsidR="00B21048" w:rsidRPr="007A2184" w:rsidRDefault="00B21048" w:rsidP="00B21048">
      <w:pPr>
        <w:rPr>
          <w:rFonts w:cs="Arial"/>
          <w:sz w:val="20"/>
        </w:rPr>
      </w:pPr>
    </w:p>
    <w:p w:rsidR="00F3760D" w:rsidRPr="007A2184" w:rsidRDefault="00F3760D" w:rsidP="00F3760D">
      <w:pPr>
        <w:autoSpaceDE w:val="0"/>
        <w:autoSpaceDN w:val="0"/>
        <w:adjustRightInd w:val="0"/>
        <w:spacing w:line="264" w:lineRule="auto"/>
        <w:rPr>
          <w:rFonts w:cs="Arial"/>
          <w:b/>
          <w:sz w:val="20"/>
          <w:szCs w:val="20"/>
        </w:rPr>
      </w:pPr>
      <w:r>
        <w:rPr>
          <w:b/>
          <w:sz w:val="20"/>
        </w:rPr>
        <w:t>Captions:</w:t>
      </w:r>
    </w:p>
    <w:p w:rsidR="007A2184" w:rsidRPr="007A2184" w:rsidRDefault="00E210A2" w:rsidP="007A2184">
      <w:pPr>
        <w:rPr>
          <w:rFonts w:cs="Arial"/>
          <w:b/>
          <w:bCs/>
          <w:iCs/>
          <w:color w:val="auto"/>
          <w:sz w:val="20"/>
          <w:szCs w:val="20"/>
        </w:rPr>
      </w:pPr>
      <w:r>
        <w:rPr>
          <w:b/>
          <w:color w:val="auto"/>
          <w:sz w:val="20"/>
        </w:rPr>
        <w:t>Doka_2015_06</w:t>
      </w:r>
      <w:r w:rsidR="007A2184">
        <w:rPr>
          <w:b/>
          <w:color w:val="auto"/>
          <w:sz w:val="20"/>
        </w:rPr>
        <w:t xml:space="preserve">_Midfield Terminal </w:t>
      </w:r>
      <w:proofErr w:type="spellStart"/>
      <w:r w:rsidR="007A2184">
        <w:rPr>
          <w:b/>
          <w:color w:val="auto"/>
          <w:sz w:val="20"/>
        </w:rPr>
        <w:t>Complex_Rendering_©www.arabtecuae.com</w:t>
      </w:r>
      <w:r>
        <w:rPr>
          <w:b/>
          <w:color w:val="auto"/>
          <w:sz w:val="20"/>
        </w:rPr>
        <w:t>.jpg</w:t>
      </w:r>
      <w:proofErr w:type="spellEnd"/>
    </w:p>
    <w:p w:rsidR="007A2184" w:rsidRPr="00E01129" w:rsidRDefault="007A2184" w:rsidP="007A2184">
      <w:pPr>
        <w:rPr>
          <w:sz w:val="20"/>
          <w:szCs w:val="20"/>
        </w:rPr>
      </w:pPr>
      <w:r>
        <w:rPr>
          <w:sz w:val="20"/>
        </w:rPr>
        <w:t xml:space="preserve">With its unusual shape the new airport terminal will become a prominent landmark in Abu Dhabi. </w:t>
      </w:r>
    </w:p>
    <w:p w:rsidR="007A2184" w:rsidRPr="007A2184" w:rsidRDefault="007A2184" w:rsidP="007A2184">
      <w:pPr>
        <w:autoSpaceDE w:val="0"/>
        <w:autoSpaceDN w:val="0"/>
        <w:adjustRightInd w:val="0"/>
        <w:spacing w:line="264" w:lineRule="auto"/>
        <w:jc w:val="right"/>
        <w:rPr>
          <w:sz w:val="20"/>
        </w:rPr>
      </w:pPr>
      <w:r>
        <w:rPr>
          <w:sz w:val="20"/>
        </w:rPr>
        <w:t xml:space="preserve">© </w:t>
      </w:r>
      <w:hyperlink r:id="rId8">
        <w:r>
          <w:rPr>
            <w:rStyle w:val="Hyperlink"/>
            <w:sz w:val="20"/>
          </w:rPr>
          <w:t>www.arabtecuae.com</w:t>
        </w:r>
      </w:hyperlink>
    </w:p>
    <w:p w:rsidR="007A2184" w:rsidRDefault="00E210A2" w:rsidP="00B21048">
      <w:pPr>
        <w:autoSpaceDE w:val="0"/>
        <w:autoSpaceDN w:val="0"/>
        <w:adjustRightInd w:val="0"/>
        <w:spacing w:line="264" w:lineRule="auto"/>
        <w:rPr>
          <w:rFonts w:cs="Arial"/>
          <w:b/>
          <w:bCs/>
          <w:iCs/>
          <w:color w:val="auto"/>
          <w:sz w:val="20"/>
          <w:szCs w:val="20"/>
        </w:rPr>
      </w:pPr>
      <w:r>
        <w:rPr>
          <w:b/>
          <w:color w:val="auto"/>
          <w:sz w:val="20"/>
        </w:rPr>
        <w:t>Doka_2015_06</w:t>
      </w:r>
      <w:r w:rsidR="007A2184">
        <w:rPr>
          <w:b/>
          <w:color w:val="auto"/>
          <w:sz w:val="20"/>
        </w:rPr>
        <w:t xml:space="preserve">_Midfield Terminal Complex_IMG_01.jpg </w:t>
      </w:r>
    </w:p>
    <w:p w:rsidR="007A2184" w:rsidRDefault="00B21048" w:rsidP="007A2184">
      <w:pPr>
        <w:autoSpaceDE w:val="0"/>
        <w:autoSpaceDN w:val="0"/>
        <w:adjustRightInd w:val="0"/>
        <w:spacing w:line="264" w:lineRule="auto"/>
        <w:rPr>
          <w:rFonts w:cs="Arial"/>
          <w:color w:val="auto"/>
          <w:sz w:val="20"/>
          <w:szCs w:val="20"/>
        </w:rPr>
      </w:pPr>
      <w:r>
        <w:rPr>
          <w:color w:val="auto"/>
          <w:sz w:val="20"/>
        </w:rPr>
        <w:t xml:space="preserve">Doka Abu Dhabi developed a customized formwork solution for the expansion of the international airport in Abu Dhabi. </w:t>
      </w:r>
    </w:p>
    <w:p w:rsidR="007A2184" w:rsidRPr="007A2184" w:rsidRDefault="007A2184" w:rsidP="007A2184">
      <w:pPr>
        <w:autoSpaceDE w:val="0"/>
        <w:autoSpaceDN w:val="0"/>
        <w:adjustRightInd w:val="0"/>
        <w:spacing w:line="264" w:lineRule="auto"/>
        <w:jc w:val="right"/>
        <w:rPr>
          <w:sz w:val="20"/>
        </w:rPr>
      </w:pPr>
      <w:r>
        <w:rPr>
          <w:sz w:val="20"/>
        </w:rPr>
        <w:t>Photo: © Doka</w:t>
      </w:r>
    </w:p>
    <w:p w:rsidR="007A2184" w:rsidRDefault="00E210A2" w:rsidP="007A2184">
      <w:pPr>
        <w:autoSpaceDE w:val="0"/>
        <w:autoSpaceDN w:val="0"/>
        <w:adjustRightInd w:val="0"/>
        <w:spacing w:line="264" w:lineRule="auto"/>
        <w:rPr>
          <w:rFonts w:cs="Arial"/>
          <w:b/>
          <w:bCs/>
          <w:iCs/>
          <w:color w:val="auto"/>
          <w:sz w:val="20"/>
          <w:szCs w:val="20"/>
        </w:rPr>
      </w:pPr>
      <w:r>
        <w:rPr>
          <w:b/>
          <w:color w:val="auto"/>
          <w:sz w:val="20"/>
        </w:rPr>
        <w:t>Doka_2015_06</w:t>
      </w:r>
      <w:r w:rsidR="007A2184">
        <w:rPr>
          <w:b/>
          <w:color w:val="auto"/>
          <w:sz w:val="20"/>
        </w:rPr>
        <w:t xml:space="preserve">_Midfield Terminal Complex_IMG_02.jpg </w:t>
      </w:r>
    </w:p>
    <w:p w:rsidR="007A2184" w:rsidRPr="00037208" w:rsidRDefault="00037208" w:rsidP="007A2184">
      <w:pPr>
        <w:autoSpaceDE w:val="0"/>
        <w:autoSpaceDN w:val="0"/>
        <w:adjustRightInd w:val="0"/>
        <w:spacing w:line="264" w:lineRule="auto"/>
        <w:rPr>
          <w:color w:val="auto"/>
          <w:sz w:val="20"/>
        </w:rPr>
      </w:pPr>
      <w:r w:rsidRPr="00037208">
        <w:rPr>
          <w:color w:val="auto"/>
          <w:sz w:val="20"/>
        </w:rPr>
        <w:t>Due to its lightweight, ergonomically designed component</w:t>
      </w:r>
      <w:r w:rsidR="005E521D">
        <w:rPr>
          <w:color w:val="auto"/>
          <w:sz w:val="20"/>
        </w:rPr>
        <w:t xml:space="preserve">s the Load-bearing tower </w:t>
      </w:r>
      <w:proofErr w:type="spellStart"/>
      <w:r w:rsidR="005E521D">
        <w:rPr>
          <w:color w:val="auto"/>
          <w:sz w:val="20"/>
        </w:rPr>
        <w:t>Staxo</w:t>
      </w:r>
      <w:proofErr w:type="spellEnd"/>
      <w:r w:rsidR="005E521D">
        <w:rPr>
          <w:color w:val="auto"/>
          <w:sz w:val="20"/>
        </w:rPr>
        <w:t> </w:t>
      </w:r>
      <w:r w:rsidRPr="00037208">
        <w:rPr>
          <w:color w:val="auto"/>
          <w:sz w:val="20"/>
        </w:rPr>
        <w:t xml:space="preserve">40 can be erected with minimal effort and with no need for </w:t>
      </w:r>
      <w:r w:rsidR="002C5F76">
        <w:rPr>
          <w:color w:val="auto"/>
          <w:sz w:val="20"/>
        </w:rPr>
        <w:t>a</w:t>
      </w:r>
      <w:r w:rsidRPr="00037208">
        <w:rPr>
          <w:color w:val="auto"/>
          <w:sz w:val="20"/>
        </w:rPr>
        <w:t xml:space="preserve"> crane.</w:t>
      </w:r>
    </w:p>
    <w:p w:rsidR="007A2184" w:rsidRPr="00E01129" w:rsidRDefault="00B21048" w:rsidP="00E01129">
      <w:pPr>
        <w:autoSpaceDE w:val="0"/>
        <w:autoSpaceDN w:val="0"/>
        <w:adjustRightInd w:val="0"/>
        <w:spacing w:line="264" w:lineRule="auto"/>
        <w:jc w:val="right"/>
        <w:rPr>
          <w:sz w:val="20"/>
        </w:rPr>
      </w:pPr>
      <w:r>
        <w:rPr>
          <w:sz w:val="20"/>
        </w:rPr>
        <w:t>Photo: © Doka</w:t>
      </w:r>
    </w:p>
    <w:sectPr w:rsidR="007A2184" w:rsidRPr="00E01129" w:rsidSect="001F4501">
      <w:headerReference w:type="default" r:id="rId9"/>
      <w:pgSz w:w="11906" w:h="16838" w:code="9"/>
      <w:pgMar w:top="2552" w:right="1134" w:bottom="1985" w:left="1418" w:header="709"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162" w:rsidRDefault="001E7162">
      <w:r>
        <w:separator/>
      </w:r>
    </w:p>
  </w:endnote>
  <w:endnote w:type="continuationSeparator" w:id="0">
    <w:p w:rsidR="001E7162" w:rsidRDefault="001E71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162" w:rsidRDefault="001E7162">
      <w:r>
        <w:separator/>
      </w:r>
    </w:p>
  </w:footnote>
  <w:footnote w:type="continuationSeparator" w:id="0">
    <w:p w:rsidR="001E7162" w:rsidRDefault="001E71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162" w:rsidRDefault="001E7162">
    <w:pPr>
      <w:pStyle w:val="Kopfzeile"/>
    </w:pPr>
    <w:r>
      <w:rPr>
        <w:b/>
        <w:noProof/>
        <w:lang w:val="de-DE" w:eastAsia="de-DE" w:bidi="ar-SA"/>
      </w:rPr>
      <w:drawing>
        <wp:anchor distT="0" distB="0" distL="114300" distR="114300" simplePos="0" relativeHeight="251659264" behindDoc="0" locked="0" layoutInCell="1" allowOverlap="1">
          <wp:simplePos x="0" y="0"/>
          <wp:positionH relativeFrom="column">
            <wp:posOffset>4338320</wp:posOffset>
          </wp:positionH>
          <wp:positionV relativeFrom="paragraph">
            <wp:posOffset>178435</wp:posOffset>
          </wp:positionV>
          <wp:extent cx="1562100" cy="615950"/>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Press Release</w:t>
    </w:r>
    <w:r>
      <w:t xml:space="preserve"> / June 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6CC2AD2"/>
    <w:multiLevelType w:val="multilevel"/>
    <w:tmpl w:val="1EFCEC30"/>
    <w:numStyleLink w:val="ListemitAufzhlungszeichenDoka"/>
  </w:abstractNum>
  <w:abstractNum w:abstractNumId="24">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8673"/>
  </w:hdrShapeDefaults>
  <w:footnotePr>
    <w:footnote w:id="-1"/>
    <w:footnote w:id="0"/>
  </w:footnotePr>
  <w:endnotePr>
    <w:endnote w:id="-1"/>
    <w:endnote w:id="0"/>
  </w:endnotePr>
  <w:compat/>
  <w:rsids>
    <w:rsidRoot w:val="00CA2DCA"/>
    <w:rsid w:val="00005BA4"/>
    <w:rsid w:val="000064C7"/>
    <w:rsid w:val="0001239A"/>
    <w:rsid w:val="00015F66"/>
    <w:rsid w:val="00016591"/>
    <w:rsid w:val="000251EE"/>
    <w:rsid w:val="00030363"/>
    <w:rsid w:val="00037208"/>
    <w:rsid w:val="000457D7"/>
    <w:rsid w:val="0005679F"/>
    <w:rsid w:val="0006146F"/>
    <w:rsid w:val="00066095"/>
    <w:rsid w:val="00066516"/>
    <w:rsid w:val="00072B49"/>
    <w:rsid w:val="00073AC8"/>
    <w:rsid w:val="00076DB5"/>
    <w:rsid w:val="000773D4"/>
    <w:rsid w:val="000931C4"/>
    <w:rsid w:val="000A4782"/>
    <w:rsid w:val="000A6BF4"/>
    <w:rsid w:val="000B7ED1"/>
    <w:rsid w:val="000C09CF"/>
    <w:rsid w:val="000C0E0C"/>
    <w:rsid w:val="000D0BFA"/>
    <w:rsid w:val="000D0CDF"/>
    <w:rsid w:val="000D3FE3"/>
    <w:rsid w:val="000F0A26"/>
    <w:rsid w:val="000F27D8"/>
    <w:rsid w:val="000F2860"/>
    <w:rsid w:val="000F4755"/>
    <w:rsid w:val="000F6CA7"/>
    <w:rsid w:val="00101154"/>
    <w:rsid w:val="00121825"/>
    <w:rsid w:val="001377E1"/>
    <w:rsid w:val="00141D03"/>
    <w:rsid w:val="00145700"/>
    <w:rsid w:val="0015009A"/>
    <w:rsid w:val="00150745"/>
    <w:rsid w:val="00151116"/>
    <w:rsid w:val="001529C9"/>
    <w:rsid w:val="001532FF"/>
    <w:rsid w:val="001550EB"/>
    <w:rsid w:val="00161368"/>
    <w:rsid w:val="001629CD"/>
    <w:rsid w:val="00191504"/>
    <w:rsid w:val="00191F1C"/>
    <w:rsid w:val="00192353"/>
    <w:rsid w:val="00192844"/>
    <w:rsid w:val="0019341F"/>
    <w:rsid w:val="001A3C69"/>
    <w:rsid w:val="001B24D6"/>
    <w:rsid w:val="001B66E8"/>
    <w:rsid w:val="001C0205"/>
    <w:rsid w:val="001C2B26"/>
    <w:rsid w:val="001D775D"/>
    <w:rsid w:val="001E625B"/>
    <w:rsid w:val="001E7162"/>
    <w:rsid w:val="001F0607"/>
    <w:rsid w:val="001F4501"/>
    <w:rsid w:val="0020125E"/>
    <w:rsid w:val="002046D6"/>
    <w:rsid w:val="00206107"/>
    <w:rsid w:val="002126BE"/>
    <w:rsid w:val="00212D77"/>
    <w:rsid w:val="002157B0"/>
    <w:rsid w:val="00217920"/>
    <w:rsid w:val="0022681D"/>
    <w:rsid w:val="0023241C"/>
    <w:rsid w:val="002349EA"/>
    <w:rsid w:val="0024357E"/>
    <w:rsid w:val="002518A2"/>
    <w:rsid w:val="00255FAB"/>
    <w:rsid w:val="00270768"/>
    <w:rsid w:val="00272CE6"/>
    <w:rsid w:val="0028229F"/>
    <w:rsid w:val="002878DF"/>
    <w:rsid w:val="00292958"/>
    <w:rsid w:val="002955F7"/>
    <w:rsid w:val="002A0E48"/>
    <w:rsid w:val="002A560B"/>
    <w:rsid w:val="002A6293"/>
    <w:rsid w:val="002A6736"/>
    <w:rsid w:val="002B7048"/>
    <w:rsid w:val="002B77BD"/>
    <w:rsid w:val="002C3B72"/>
    <w:rsid w:val="002C4E8E"/>
    <w:rsid w:val="002C5F76"/>
    <w:rsid w:val="002C79F1"/>
    <w:rsid w:val="002D1CC4"/>
    <w:rsid w:val="002F0538"/>
    <w:rsid w:val="002F6989"/>
    <w:rsid w:val="0030061E"/>
    <w:rsid w:val="003057EE"/>
    <w:rsid w:val="00316391"/>
    <w:rsid w:val="003254C3"/>
    <w:rsid w:val="00325611"/>
    <w:rsid w:val="0036330E"/>
    <w:rsid w:val="00371B67"/>
    <w:rsid w:val="00375913"/>
    <w:rsid w:val="003764D7"/>
    <w:rsid w:val="00380A98"/>
    <w:rsid w:val="00383394"/>
    <w:rsid w:val="0038509E"/>
    <w:rsid w:val="00386AD2"/>
    <w:rsid w:val="00393CDB"/>
    <w:rsid w:val="003969B2"/>
    <w:rsid w:val="003A315D"/>
    <w:rsid w:val="003A5B0C"/>
    <w:rsid w:val="003A654D"/>
    <w:rsid w:val="003A79FC"/>
    <w:rsid w:val="003B3FCB"/>
    <w:rsid w:val="003D4651"/>
    <w:rsid w:val="003E1B7C"/>
    <w:rsid w:val="003E4C7C"/>
    <w:rsid w:val="003E679B"/>
    <w:rsid w:val="003F1085"/>
    <w:rsid w:val="003F2D41"/>
    <w:rsid w:val="00410041"/>
    <w:rsid w:val="00414531"/>
    <w:rsid w:val="004165BC"/>
    <w:rsid w:val="004235FA"/>
    <w:rsid w:val="00424EB9"/>
    <w:rsid w:val="004270A9"/>
    <w:rsid w:val="004361E6"/>
    <w:rsid w:val="00455EFF"/>
    <w:rsid w:val="00463017"/>
    <w:rsid w:val="004639B7"/>
    <w:rsid w:val="00463CD4"/>
    <w:rsid w:val="00471DB5"/>
    <w:rsid w:val="00474177"/>
    <w:rsid w:val="004758D0"/>
    <w:rsid w:val="0048426A"/>
    <w:rsid w:val="004865A7"/>
    <w:rsid w:val="004A0EF2"/>
    <w:rsid w:val="004A11B0"/>
    <w:rsid w:val="004A2464"/>
    <w:rsid w:val="004B0024"/>
    <w:rsid w:val="004D3946"/>
    <w:rsid w:val="004D3D54"/>
    <w:rsid w:val="004E01A8"/>
    <w:rsid w:val="004E375A"/>
    <w:rsid w:val="004E5EFD"/>
    <w:rsid w:val="004F0C47"/>
    <w:rsid w:val="00514C50"/>
    <w:rsid w:val="00514C59"/>
    <w:rsid w:val="005151C6"/>
    <w:rsid w:val="0051534D"/>
    <w:rsid w:val="00522770"/>
    <w:rsid w:val="005257A0"/>
    <w:rsid w:val="00531302"/>
    <w:rsid w:val="00533B9D"/>
    <w:rsid w:val="00541415"/>
    <w:rsid w:val="005428D8"/>
    <w:rsid w:val="00564AF1"/>
    <w:rsid w:val="00583619"/>
    <w:rsid w:val="00593C05"/>
    <w:rsid w:val="00594A33"/>
    <w:rsid w:val="005965EE"/>
    <w:rsid w:val="005C05EF"/>
    <w:rsid w:val="005C4ED3"/>
    <w:rsid w:val="005D590E"/>
    <w:rsid w:val="005E521D"/>
    <w:rsid w:val="005F4E67"/>
    <w:rsid w:val="00605ED4"/>
    <w:rsid w:val="0060678C"/>
    <w:rsid w:val="006174CA"/>
    <w:rsid w:val="0062650A"/>
    <w:rsid w:val="00626A22"/>
    <w:rsid w:val="006325C5"/>
    <w:rsid w:val="00641955"/>
    <w:rsid w:val="006459F5"/>
    <w:rsid w:val="00647D75"/>
    <w:rsid w:val="006542E6"/>
    <w:rsid w:val="006568C4"/>
    <w:rsid w:val="00673A41"/>
    <w:rsid w:val="006748FC"/>
    <w:rsid w:val="00676BB2"/>
    <w:rsid w:val="006A4302"/>
    <w:rsid w:val="006B44CA"/>
    <w:rsid w:val="006B6F45"/>
    <w:rsid w:val="006C0CAA"/>
    <w:rsid w:val="006D11DF"/>
    <w:rsid w:val="006D2F3F"/>
    <w:rsid w:val="006D4BCB"/>
    <w:rsid w:val="006E1201"/>
    <w:rsid w:val="006E430E"/>
    <w:rsid w:val="006E492D"/>
    <w:rsid w:val="006F4ED2"/>
    <w:rsid w:val="00700FC1"/>
    <w:rsid w:val="00701D6E"/>
    <w:rsid w:val="007107B6"/>
    <w:rsid w:val="007153EF"/>
    <w:rsid w:val="00743D15"/>
    <w:rsid w:val="0074598C"/>
    <w:rsid w:val="007468BB"/>
    <w:rsid w:val="00754E98"/>
    <w:rsid w:val="007619EF"/>
    <w:rsid w:val="00765BFB"/>
    <w:rsid w:val="00776135"/>
    <w:rsid w:val="00782A7A"/>
    <w:rsid w:val="007A2184"/>
    <w:rsid w:val="007A4A33"/>
    <w:rsid w:val="007B112B"/>
    <w:rsid w:val="007B27E3"/>
    <w:rsid w:val="007B36E6"/>
    <w:rsid w:val="007C1F7C"/>
    <w:rsid w:val="007C4F72"/>
    <w:rsid w:val="007D13FB"/>
    <w:rsid w:val="007D3940"/>
    <w:rsid w:val="007D59C8"/>
    <w:rsid w:val="007E09C2"/>
    <w:rsid w:val="007E243A"/>
    <w:rsid w:val="007E578F"/>
    <w:rsid w:val="007F1B5C"/>
    <w:rsid w:val="00802C3F"/>
    <w:rsid w:val="008071E0"/>
    <w:rsid w:val="00807495"/>
    <w:rsid w:val="008122E0"/>
    <w:rsid w:val="008168B4"/>
    <w:rsid w:val="00826274"/>
    <w:rsid w:val="00841263"/>
    <w:rsid w:val="0084602A"/>
    <w:rsid w:val="00853D71"/>
    <w:rsid w:val="00856656"/>
    <w:rsid w:val="00861C28"/>
    <w:rsid w:val="00862648"/>
    <w:rsid w:val="0087423F"/>
    <w:rsid w:val="008850B1"/>
    <w:rsid w:val="0088590F"/>
    <w:rsid w:val="00892BD9"/>
    <w:rsid w:val="008938F0"/>
    <w:rsid w:val="00894E04"/>
    <w:rsid w:val="008A66B5"/>
    <w:rsid w:val="008B7FD4"/>
    <w:rsid w:val="008C24F7"/>
    <w:rsid w:val="008C3FD8"/>
    <w:rsid w:val="008C7981"/>
    <w:rsid w:val="008D1E1D"/>
    <w:rsid w:val="008D3FB1"/>
    <w:rsid w:val="008E01B1"/>
    <w:rsid w:val="008E371D"/>
    <w:rsid w:val="008F7E95"/>
    <w:rsid w:val="009036B6"/>
    <w:rsid w:val="009059DD"/>
    <w:rsid w:val="0091326C"/>
    <w:rsid w:val="0091399C"/>
    <w:rsid w:val="009142E4"/>
    <w:rsid w:val="009249D5"/>
    <w:rsid w:val="00925429"/>
    <w:rsid w:val="0093020F"/>
    <w:rsid w:val="00931A11"/>
    <w:rsid w:val="009355F1"/>
    <w:rsid w:val="00946116"/>
    <w:rsid w:val="00947EF7"/>
    <w:rsid w:val="00950FA8"/>
    <w:rsid w:val="00955FDB"/>
    <w:rsid w:val="009641AB"/>
    <w:rsid w:val="00966E67"/>
    <w:rsid w:val="00971C3F"/>
    <w:rsid w:val="00971E7C"/>
    <w:rsid w:val="00975006"/>
    <w:rsid w:val="009753D5"/>
    <w:rsid w:val="00980B19"/>
    <w:rsid w:val="009834DC"/>
    <w:rsid w:val="00984563"/>
    <w:rsid w:val="00992DAA"/>
    <w:rsid w:val="00994481"/>
    <w:rsid w:val="009A00A8"/>
    <w:rsid w:val="009A0EB6"/>
    <w:rsid w:val="009A1B3F"/>
    <w:rsid w:val="009A2A80"/>
    <w:rsid w:val="009A3E1E"/>
    <w:rsid w:val="009C7013"/>
    <w:rsid w:val="009C7E37"/>
    <w:rsid w:val="009E3BD4"/>
    <w:rsid w:val="009F502C"/>
    <w:rsid w:val="009F780B"/>
    <w:rsid w:val="00A0387C"/>
    <w:rsid w:val="00A17DD2"/>
    <w:rsid w:val="00A247B8"/>
    <w:rsid w:val="00A25681"/>
    <w:rsid w:val="00A262A3"/>
    <w:rsid w:val="00A4043A"/>
    <w:rsid w:val="00A535A9"/>
    <w:rsid w:val="00A62EEB"/>
    <w:rsid w:val="00A67F42"/>
    <w:rsid w:val="00A758AD"/>
    <w:rsid w:val="00A80792"/>
    <w:rsid w:val="00A80CDE"/>
    <w:rsid w:val="00A833FC"/>
    <w:rsid w:val="00A94A0F"/>
    <w:rsid w:val="00A957C5"/>
    <w:rsid w:val="00AA1120"/>
    <w:rsid w:val="00AA4BB9"/>
    <w:rsid w:val="00AB4CCF"/>
    <w:rsid w:val="00AB5699"/>
    <w:rsid w:val="00AE3D60"/>
    <w:rsid w:val="00AE68AC"/>
    <w:rsid w:val="00AF032B"/>
    <w:rsid w:val="00AF0FDF"/>
    <w:rsid w:val="00AF4B4A"/>
    <w:rsid w:val="00AF7050"/>
    <w:rsid w:val="00B03209"/>
    <w:rsid w:val="00B10489"/>
    <w:rsid w:val="00B17C01"/>
    <w:rsid w:val="00B21048"/>
    <w:rsid w:val="00B31243"/>
    <w:rsid w:val="00B34661"/>
    <w:rsid w:val="00B3679E"/>
    <w:rsid w:val="00B43CC4"/>
    <w:rsid w:val="00B56D6D"/>
    <w:rsid w:val="00B75217"/>
    <w:rsid w:val="00B878D2"/>
    <w:rsid w:val="00B924BD"/>
    <w:rsid w:val="00BA38D4"/>
    <w:rsid w:val="00BA412F"/>
    <w:rsid w:val="00BA4A3F"/>
    <w:rsid w:val="00BA6027"/>
    <w:rsid w:val="00BB5CC5"/>
    <w:rsid w:val="00BB7B3E"/>
    <w:rsid w:val="00BD6411"/>
    <w:rsid w:val="00BE6351"/>
    <w:rsid w:val="00BF0BDA"/>
    <w:rsid w:val="00BF0CF6"/>
    <w:rsid w:val="00BF3671"/>
    <w:rsid w:val="00BF4F0B"/>
    <w:rsid w:val="00BF53C0"/>
    <w:rsid w:val="00BF718A"/>
    <w:rsid w:val="00C0412F"/>
    <w:rsid w:val="00C07526"/>
    <w:rsid w:val="00C3199D"/>
    <w:rsid w:val="00C34D2B"/>
    <w:rsid w:val="00C54060"/>
    <w:rsid w:val="00C540FC"/>
    <w:rsid w:val="00C54DD9"/>
    <w:rsid w:val="00C6065C"/>
    <w:rsid w:val="00C700EB"/>
    <w:rsid w:val="00C76077"/>
    <w:rsid w:val="00C8283E"/>
    <w:rsid w:val="00C82CDD"/>
    <w:rsid w:val="00C84193"/>
    <w:rsid w:val="00C846DE"/>
    <w:rsid w:val="00C87F73"/>
    <w:rsid w:val="00C969D7"/>
    <w:rsid w:val="00C97B3E"/>
    <w:rsid w:val="00CA269C"/>
    <w:rsid w:val="00CA2DCA"/>
    <w:rsid w:val="00CB6751"/>
    <w:rsid w:val="00CC3127"/>
    <w:rsid w:val="00CC6205"/>
    <w:rsid w:val="00CC7851"/>
    <w:rsid w:val="00CC78E2"/>
    <w:rsid w:val="00CE716B"/>
    <w:rsid w:val="00CF3205"/>
    <w:rsid w:val="00CF52D3"/>
    <w:rsid w:val="00D13D5D"/>
    <w:rsid w:val="00D16444"/>
    <w:rsid w:val="00D16F2B"/>
    <w:rsid w:val="00D21002"/>
    <w:rsid w:val="00D22ED1"/>
    <w:rsid w:val="00D260AF"/>
    <w:rsid w:val="00D35DAE"/>
    <w:rsid w:val="00D366AC"/>
    <w:rsid w:val="00D42D17"/>
    <w:rsid w:val="00D53AF3"/>
    <w:rsid w:val="00D54F3D"/>
    <w:rsid w:val="00D5564E"/>
    <w:rsid w:val="00D5596D"/>
    <w:rsid w:val="00D663D3"/>
    <w:rsid w:val="00D70E7C"/>
    <w:rsid w:val="00D77625"/>
    <w:rsid w:val="00D7770E"/>
    <w:rsid w:val="00D9470E"/>
    <w:rsid w:val="00D95201"/>
    <w:rsid w:val="00DA3001"/>
    <w:rsid w:val="00DA459A"/>
    <w:rsid w:val="00DA7D4A"/>
    <w:rsid w:val="00DB557B"/>
    <w:rsid w:val="00DB59D2"/>
    <w:rsid w:val="00DC2257"/>
    <w:rsid w:val="00DC30D3"/>
    <w:rsid w:val="00DC3E0B"/>
    <w:rsid w:val="00DD0AA3"/>
    <w:rsid w:val="00DE09B4"/>
    <w:rsid w:val="00DE2E10"/>
    <w:rsid w:val="00DE6052"/>
    <w:rsid w:val="00E01129"/>
    <w:rsid w:val="00E01C63"/>
    <w:rsid w:val="00E0389B"/>
    <w:rsid w:val="00E13988"/>
    <w:rsid w:val="00E210A2"/>
    <w:rsid w:val="00E42DE3"/>
    <w:rsid w:val="00E454A2"/>
    <w:rsid w:val="00E46FD1"/>
    <w:rsid w:val="00E51BBF"/>
    <w:rsid w:val="00E61E90"/>
    <w:rsid w:val="00E80C5C"/>
    <w:rsid w:val="00E821B8"/>
    <w:rsid w:val="00E863D4"/>
    <w:rsid w:val="00E8764B"/>
    <w:rsid w:val="00E90D17"/>
    <w:rsid w:val="00E92FD5"/>
    <w:rsid w:val="00E93A6C"/>
    <w:rsid w:val="00EA0280"/>
    <w:rsid w:val="00EA377C"/>
    <w:rsid w:val="00EA54B3"/>
    <w:rsid w:val="00EC544C"/>
    <w:rsid w:val="00EC77A6"/>
    <w:rsid w:val="00EC7A4A"/>
    <w:rsid w:val="00ED11AA"/>
    <w:rsid w:val="00ED4DC5"/>
    <w:rsid w:val="00EE699B"/>
    <w:rsid w:val="00EE6C4F"/>
    <w:rsid w:val="00EF03CC"/>
    <w:rsid w:val="00F03462"/>
    <w:rsid w:val="00F12941"/>
    <w:rsid w:val="00F14D8B"/>
    <w:rsid w:val="00F15F1C"/>
    <w:rsid w:val="00F162CE"/>
    <w:rsid w:val="00F17F1E"/>
    <w:rsid w:val="00F20741"/>
    <w:rsid w:val="00F3760D"/>
    <w:rsid w:val="00F500C7"/>
    <w:rsid w:val="00F50BEE"/>
    <w:rsid w:val="00F74863"/>
    <w:rsid w:val="00F76C46"/>
    <w:rsid w:val="00F83018"/>
    <w:rsid w:val="00F97455"/>
    <w:rsid w:val="00FA7083"/>
    <w:rsid w:val="00FB5539"/>
    <w:rsid w:val="00FB575D"/>
    <w:rsid w:val="00FC06EC"/>
    <w:rsid w:val="00FC154C"/>
    <w:rsid w:val="00FD2175"/>
    <w:rsid w:val="00FD7F20"/>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846DE"/>
    <w:rPr>
      <w:rFonts w:ascii="Arial" w:hAnsi="Arial"/>
      <w:color w:val="000000"/>
      <w:sz w:val="22"/>
      <w:szCs w:val="24"/>
    </w:rPr>
  </w:style>
  <w:style w:type="paragraph" w:styleId="berschrift1">
    <w:name w:val="heading 1"/>
    <w:basedOn w:val="Standard"/>
    <w:next w:val="Standard"/>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verflowPunct w:val="0"/>
      <w:autoSpaceDE w:val="0"/>
      <w:autoSpaceDN w:val="0"/>
      <w:adjustRightInd w:val="0"/>
      <w:textAlignment w:val="baseline"/>
      <w:outlineLvl w:val="3"/>
    </w:pPr>
    <w:rPr>
      <w:szCs w:val="20"/>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uiPriority w:val="99"/>
    <w:semiHidden/>
    <w:unhideWhenUsed/>
    <w:rsid w:val="003969B2"/>
    <w:rPr>
      <w:sz w:val="16"/>
      <w:szCs w:val="16"/>
    </w:rPr>
  </w:style>
  <w:style w:type="paragraph" w:styleId="Kommentartext">
    <w:name w:val="annotation text"/>
    <w:link w:val="KommentartextZchn"/>
    <w:uiPriority w:val="99"/>
    <w:semiHidden/>
    <w:unhideWhenUsed/>
    <w:rsid w:val="003969B2"/>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paragraph" w:customStyle="1" w:styleId="Einleitung">
    <w:name w:val="Einleitung"/>
    <w:basedOn w:val="Dokumentstruktur"/>
    <w:rsid w:val="00CA2DCA"/>
    <w:pPr>
      <w:shd w:val="clear" w:color="auto" w:fill="auto"/>
      <w:overflowPunct w:val="0"/>
      <w:autoSpaceDE w:val="0"/>
      <w:autoSpaceDN w:val="0"/>
      <w:adjustRightInd w:val="0"/>
      <w:textAlignment w:val="baseline"/>
    </w:pPr>
    <w:rPr>
      <w:rFonts w:ascii="Arial" w:hAnsi="Arial" w:cs="Times New Roman"/>
      <w:b/>
      <w:bCs/>
      <w:color w:val="auto"/>
      <w:szCs w:val="20"/>
    </w:rPr>
  </w:style>
  <w:style w:type="paragraph" w:customStyle="1" w:styleId="Fotohinweis">
    <w:name w:val="Fotohinweis"/>
    <w:basedOn w:val="Standard"/>
    <w:rsid w:val="00F3760D"/>
    <w:pPr>
      <w:overflowPunct w:val="0"/>
      <w:autoSpaceDE w:val="0"/>
      <w:autoSpaceDN w:val="0"/>
      <w:adjustRightInd w:val="0"/>
      <w:jc w:val="right"/>
      <w:textAlignment w:val="baseline"/>
    </w:pPr>
    <w:rPr>
      <w:rFonts w:cs="Arial"/>
      <w:color w:val="auto"/>
      <w:szCs w:val="20"/>
    </w:rPr>
  </w:style>
  <w:style w:type="paragraph" w:customStyle="1" w:styleId="Bildunterschrift">
    <w:name w:val="Bildunterschrift"/>
    <w:basedOn w:val="Standard"/>
    <w:rsid w:val="00B21048"/>
    <w:pPr>
      <w:keepNext/>
      <w:keepLines/>
      <w:overflowPunct w:val="0"/>
      <w:autoSpaceDE w:val="0"/>
      <w:autoSpaceDN w:val="0"/>
      <w:adjustRightInd w:val="0"/>
      <w:spacing w:before="240"/>
      <w:textAlignment w:val="baseline"/>
    </w:pPr>
    <w:rPr>
      <w:rFonts w:cs="Arial"/>
      <w:b/>
      <w:bCs/>
      <w:iCs/>
      <w:color w:val="auto"/>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arabtecuae.com/" TargetMode="External"/><Relationship Id="rId3" Type="http://schemas.openxmlformats.org/officeDocument/2006/relationships/settings" Target="settings.xml"/><Relationship Id="rId7" Type="http://schemas.openxmlformats.org/officeDocument/2006/relationships/hyperlink" Target="http://www.dok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777</Words>
  <Characters>4544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5311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Pessl Wolfgang</cp:lastModifiedBy>
  <cp:revision>11</cp:revision>
  <cp:lastPrinted>2015-03-11T12:11:00Z</cp:lastPrinted>
  <dcterms:created xsi:type="dcterms:W3CDTF">2015-05-06T14:57:00Z</dcterms:created>
  <dcterms:modified xsi:type="dcterms:W3CDTF">2015-06-09T15:28:00Z</dcterms:modified>
</cp:coreProperties>
</file>